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B3844" w14:textId="6858CE1B" w:rsidR="004368B6" w:rsidRPr="009A45BB" w:rsidRDefault="007844CE" w:rsidP="009A45BB">
      <w:pPr>
        <w:pStyle w:val="Betreff"/>
        <w:rPr>
          <w:color w:val="EC6624" w:themeColor="accent5"/>
        </w:rPr>
      </w:pPr>
      <w:r>
        <w:rPr>
          <w:color w:val="EC6624" w:themeColor="accent5"/>
        </w:rPr>
        <w:t>Pressemitteilung</w:t>
      </w:r>
      <w:r w:rsidR="001B1B13" w:rsidRPr="000A23C5">
        <w:rPr>
          <w:color w:val="EC6624" w:themeColor="accent5"/>
        </w:rPr>
        <w:t>:</w:t>
      </w:r>
    </w:p>
    <w:p w14:paraId="65BB95C4" w14:textId="45982007" w:rsidR="00463C42" w:rsidRPr="00463C42" w:rsidRDefault="00463C42" w:rsidP="00463C42">
      <w:pPr>
        <w:jc w:val="both"/>
        <w:rPr>
          <w:rFonts w:asciiTheme="majorHAnsi" w:hAnsiTheme="majorHAnsi"/>
          <w:b/>
          <w:bCs/>
          <w:caps/>
          <w:noProof/>
          <w:color w:val="16194B" w:themeColor="background2"/>
          <w:sz w:val="24"/>
          <w:szCs w:val="24"/>
        </w:rPr>
      </w:pPr>
      <w:r w:rsidRPr="00463C42">
        <w:rPr>
          <w:rFonts w:asciiTheme="majorHAnsi" w:hAnsiTheme="majorHAnsi"/>
          <w:b/>
          <w:bCs/>
          <w:caps/>
          <w:noProof/>
          <w:color w:val="16194B" w:themeColor="background2"/>
          <w:sz w:val="24"/>
          <w:szCs w:val="24"/>
        </w:rPr>
        <w:t>FLEXILLIENZ JETZT</w:t>
      </w:r>
      <w:r>
        <w:rPr>
          <w:rFonts w:asciiTheme="majorHAnsi" w:hAnsiTheme="majorHAnsi"/>
          <w:b/>
          <w:bCs/>
          <w:caps/>
          <w:noProof/>
          <w:color w:val="16194B" w:themeColor="background2"/>
          <w:sz w:val="24"/>
          <w:szCs w:val="24"/>
        </w:rPr>
        <w:t xml:space="preserve">! </w:t>
      </w:r>
      <w:r w:rsidRPr="00463C42">
        <w:rPr>
          <w:rFonts w:asciiTheme="majorHAnsi" w:hAnsiTheme="majorHAnsi"/>
          <w:b/>
          <w:bCs/>
          <w:caps/>
          <w:noProof/>
          <w:color w:val="16194B" w:themeColor="background2"/>
          <w:sz w:val="24"/>
          <w:szCs w:val="24"/>
        </w:rPr>
        <w:t>BVES setzt energiepolitische Leitplanken für die neue Legislaturperiode</w:t>
      </w:r>
    </w:p>
    <w:p w14:paraId="1B9A057A" w14:textId="0D3EDC53" w:rsidR="007844CE" w:rsidRPr="00357E8F" w:rsidRDefault="007844CE" w:rsidP="00463C42">
      <w:pPr>
        <w:jc w:val="both"/>
        <w:rPr>
          <w:b/>
          <w:bCs/>
        </w:rPr>
      </w:pPr>
    </w:p>
    <w:p w14:paraId="27636943" w14:textId="77777777" w:rsidR="00657EBC" w:rsidRDefault="00657EBC" w:rsidP="00657EBC">
      <w:pPr>
        <w:jc w:val="both"/>
      </w:pPr>
      <w:r w:rsidRPr="00B12CFD">
        <w:t xml:space="preserve">Deutschland hat sich das Ziel gesetzt, bis 2035 die Stromerzeugung zu 100 % aus Erneuerbaren Energien zu decken. Damit dieses Ziel erreicht werden kann, müssen </w:t>
      </w:r>
      <w:r>
        <w:t>die</w:t>
      </w:r>
      <w:r w:rsidRPr="00B12CFD">
        <w:t xml:space="preserve"> notwendigen Rahmenbedingungen spätestens bis 2030 geschaffen werden. Die nächste Legislaturperiode ist daher entscheidend, um die Weichen für ein zukunftsfähiges Energiesystem zu stellen.</w:t>
      </w:r>
    </w:p>
    <w:p w14:paraId="64749537" w14:textId="77777777" w:rsidR="00657EBC" w:rsidRPr="00B12CFD" w:rsidRDefault="00657EBC" w:rsidP="00657EBC">
      <w:pPr>
        <w:jc w:val="both"/>
      </w:pPr>
    </w:p>
    <w:p w14:paraId="2BC9F759" w14:textId="77777777" w:rsidR="00657EBC" w:rsidRDefault="00657EBC" w:rsidP="00657EBC">
      <w:pPr>
        <w:jc w:val="both"/>
      </w:pPr>
      <w:r w:rsidRPr="00C76D5E">
        <w:t xml:space="preserve">Auf seiner Vorstandsklausurtagung 2025 in Schluchsee hat der BVES das Papier „Endspurt 2030“ – eine Agenda mit zentralen energiepolitischen Forderungen erarbeitet. Im Mittelpunkt steht die </w:t>
      </w:r>
      <w:r w:rsidRPr="00C76D5E">
        <w:rPr>
          <w:b/>
          <w:bCs/>
        </w:rPr>
        <w:t>FLEXILLIENZ</w:t>
      </w:r>
      <w:r w:rsidRPr="00C76D5E">
        <w:t xml:space="preserve"> des Energiesystems – eine Kombination aus Flexibilität, Resilienz und Intelligenz. Das Papier listet die Schritte auf, die notwendig sind, um das Potenzial der Energiespeicher zu entfesseln und die Energiewende effizient sowie wirtschaftlich voranzubringen.</w:t>
      </w:r>
    </w:p>
    <w:p w14:paraId="04E2882E" w14:textId="77777777" w:rsidR="00657EBC" w:rsidRDefault="00657EBC" w:rsidP="00657EBC">
      <w:pPr>
        <w:jc w:val="both"/>
      </w:pPr>
    </w:p>
    <w:p w14:paraId="7E22DA29" w14:textId="77777777" w:rsidR="00657EBC" w:rsidRPr="00B12CFD" w:rsidRDefault="00657EBC" w:rsidP="00657EBC">
      <w:pPr>
        <w:jc w:val="both"/>
      </w:pPr>
      <w:r>
        <w:rPr>
          <w:b/>
          <w:bCs/>
        </w:rPr>
        <w:t>Fünf</w:t>
      </w:r>
      <w:r w:rsidRPr="00B12CFD">
        <w:rPr>
          <w:b/>
          <w:bCs/>
        </w:rPr>
        <w:t xml:space="preserve"> Kernforderungen für ein zukunftssicheres Energiesystem:</w:t>
      </w:r>
    </w:p>
    <w:p w14:paraId="1A184604" w14:textId="77777777" w:rsidR="00657EBC" w:rsidRPr="00B12CFD" w:rsidRDefault="00657EBC" w:rsidP="00657EBC">
      <w:pPr>
        <w:numPr>
          <w:ilvl w:val="0"/>
          <w:numId w:val="1"/>
        </w:numPr>
        <w:spacing w:after="160" w:line="259" w:lineRule="auto"/>
        <w:jc w:val="both"/>
      </w:pPr>
      <w:bookmarkStart w:id="0" w:name="_Hlk189562599"/>
      <w:r w:rsidRPr="00B12CFD">
        <w:rPr>
          <w:b/>
          <w:bCs/>
        </w:rPr>
        <w:t>Bürokratie abbauen und Energiewendeanlagen priorisieren</w:t>
      </w:r>
      <w:r w:rsidRPr="00B12CFD">
        <w:br/>
        <w:t xml:space="preserve">Die Umsetzung von </w:t>
      </w:r>
      <w:r>
        <w:t>Energiewendep</w:t>
      </w:r>
      <w:r w:rsidRPr="00B12CFD">
        <w:t xml:space="preserve">rojekten </w:t>
      </w:r>
      <w:r>
        <w:t xml:space="preserve">in den drei Sektoren Strom, Wärme, Mobilität </w:t>
      </w:r>
      <w:r w:rsidRPr="00B12CFD">
        <w:t xml:space="preserve">darf nicht durch langwierige Genehmigungsverfahren behindert werden. Das überragende öffentliche Interesse nach §11c EnWG muss konsequent in der Praxis </w:t>
      </w:r>
      <w:r>
        <w:t>Anwendung finden</w:t>
      </w:r>
      <w:r w:rsidRPr="00B12CFD">
        <w:t xml:space="preserve">. Gleichzeitig braucht es einen schnelleren, digitalisierten </w:t>
      </w:r>
      <w:r>
        <w:t>und rechtssicheren P</w:t>
      </w:r>
      <w:r w:rsidRPr="00B12CFD">
        <w:t>rozess für Netzanschlüsse und Speicherintegration.</w:t>
      </w:r>
    </w:p>
    <w:p w14:paraId="3042C951" w14:textId="77777777" w:rsidR="00657EBC" w:rsidRPr="00B12CFD" w:rsidRDefault="00657EBC" w:rsidP="00657EBC">
      <w:pPr>
        <w:numPr>
          <w:ilvl w:val="0"/>
          <w:numId w:val="1"/>
        </w:numPr>
        <w:spacing w:after="160" w:line="259" w:lineRule="auto"/>
        <w:jc w:val="both"/>
      </w:pPr>
      <w:r w:rsidRPr="00B12CFD">
        <w:rPr>
          <w:b/>
          <w:bCs/>
        </w:rPr>
        <w:t>Marktdesign anpassen – Dezentralität und Volatilität berücksichtigen</w:t>
      </w:r>
      <w:r w:rsidRPr="00B12CFD">
        <w:br/>
        <w:t>Erneuerbare Energien sind dezentral und volatil. Das Energiemarktdesign muss dies widerspiegeln, indem Energie, Leistung und Systemdienstleistungen regional, dynamisch und automatisiert gehandelt werden können. Eine umfassende Reform der Netzentgelte ist dafür essenziell.</w:t>
      </w:r>
    </w:p>
    <w:p w14:paraId="0D31F54E" w14:textId="77777777" w:rsidR="00657EBC" w:rsidRPr="001A2D77" w:rsidRDefault="00657EBC" w:rsidP="00657EBC">
      <w:pPr>
        <w:numPr>
          <w:ilvl w:val="0"/>
          <w:numId w:val="1"/>
        </w:numPr>
        <w:spacing w:line="259" w:lineRule="auto"/>
        <w:jc w:val="both"/>
        <w:rPr>
          <w:b/>
          <w:bCs/>
        </w:rPr>
      </w:pPr>
      <w:r w:rsidRPr="001A2D77">
        <w:rPr>
          <w:b/>
          <w:bCs/>
        </w:rPr>
        <w:t>Speicher in Verbindung mit Erzeugungsanlagen</w:t>
      </w:r>
      <w:r>
        <w:rPr>
          <w:b/>
          <w:bCs/>
        </w:rPr>
        <w:t xml:space="preserve"> in den Fokus setzen</w:t>
      </w:r>
    </w:p>
    <w:p w14:paraId="509C72BF" w14:textId="77777777" w:rsidR="00657EBC" w:rsidRDefault="00657EBC" w:rsidP="00657EBC">
      <w:pPr>
        <w:ind w:left="720"/>
        <w:jc w:val="both"/>
      </w:pPr>
      <w:r>
        <w:t>Co-Location Anlagen</w:t>
      </w:r>
      <w:r w:rsidRPr="00B12CFD">
        <w:t xml:space="preserve"> stabilisieren d</w:t>
      </w:r>
      <w:r>
        <w:t xml:space="preserve">ie erneuerbare Erzeugung und helfen gleichzeitig dem Netz. Zudem </w:t>
      </w:r>
      <w:r w:rsidRPr="00B12CFD">
        <w:t xml:space="preserve">sichern </w:t>
      </w:r>
      <w:r>
        <w:t xml:space="preserve">sie </w:t>
      </w:r>
      <w:r w:rsidRPr="00B12CFD">
        <w:t xml:space="preserve">die </w:t>
      </w:r>
      <w:r>
        <w:t xml:space="preserve">effiziente Nutzung </w:t>
      </w:r>
      <w:r w:rsidRPr="00B12CFD">
        <w:t>erneuerbarer Energien und optimieren die Nutzung von Netzanschlüssen. Notwendig sind effiziente Netzanschlusskonzepte, eine Reform der Strombilanzierung und die Abschaffung der Vergütung bei negativen Preisen.</w:t>
      </w:r>
    </w:p>
    <w:p w14:paraId="73AB13CF" w14:textId="77777777" w:rsidR="00657EBC" w:rsidRDefault="00657EBC" w:rsidP="00657EBC">
      <w:pPr>
        <w:ind w:left="720"/>
        <w:jc w:val="both"/>
      </w:pPr>
    </w:p>
    <w:p w14:paraId="1CEAF92F" w14:textId="77777777" w:rsidR="00657EBC" w:rsidRPr="003327F7" w:rsidRDefault="00657EBC" w:rsidP="00657EBC">
      <w:pPr>
        <w:pStyle w:val="Listenabsatz"/>
        <w:numPr>
          <w:ilvl w:val="0"/>
          <w:numId w:val="1"/>
        </w:numPr>
        <w:jc w:val="both"/>
      </w:pPr>
      <w:r>
        <w:rPr>
          <w:b/>
          <w:bCs/>
        </w:rPr>
        <w:t xml:space="preserve">Freiheitsgrade für </w:t>
      </w:r>
      <w:r w:rsidRPr="00B15A16">
        <w:rPr>
          <w:b/>
          <w:bCs/>
        </w:rPr>
        <w:t>Behind-</w:t>
      </w:r>
      <w:proofErr w:type="spellStart"/>
      <w:r w:rsidRPr="00B15A16">
        <w:rPr>
          <w:b/>
          <w:bCs/>
        </w:rPr>
        <w:t>the</w:t>
      </w:r>
      <w:proofErr w:type="spellEnd"/>
      <w:r w:rsidRPr="00B15A16">
        <w:rPr>
          <w:b/>
          <w:bCs/>
        </w:rPr>
        <w:t>-Meter Anl</w:t>
      </w:r>
      <w:r>
        <w:rPr>
          <w:b/>
          <w:bCs/>
        </w:rPr>
        <w:t>agen erhöhen</w:t>
      </w:r>
    </w:p>
    <w:p w14:paraId="7D6633D9" w14:textId="77777777" w:rsidR="00657EBC" w:rsidRPr="00B12CFD" w:rsidRDefault="00657EBC" w:rsidP="00657EBC">
      <w:pPr>
        <w:pStyle w:val="Listenabsatz"/>
        <w:jc w:val="both"/>
      </w:pPr>
      <w:r w:rsidRPr="00733D0A">
        <w:t xml:space="preserve">Die Erzeugung und Nutzung von Energie </w:t>
      </w:r>
      <w:r w:rsidRPr="00176A91">
        <w:t xml:space="preserve">hinter dem Netzanschluss </w:t>
      </w:r>
      <w:r>
        <w:t>gleicht</w:t>
      </w:r>
      <w:r w:rsidRPr="00733D0A">
        <w:t xml:space="preserve"> Volatilität </w:t>
      </w:r>
      <w:r>
        <w:t>aus</w:t>
      </w:r>
      <w:r w:rsidRPr="00733D0A">
        <w:t xml:space="preserve"> und entlastet das Stromnetz. </w:t>
      </w:r>
      <w:r>
        <w:t xml:space="preserve">Soweit keine Rückmeldung in das Netz erfolgt, muss der Anschlussnehmer selbst entscheiden können, wie die Anlage aufgesetzt und genutzt wird. </w:t>
      </w:r>
      <w:r w:rsidRPr="00733D0A">
        <w:t xml:space="preserve">Es braucht eine Reform der Netzentgeltstruktur, einen beschleunigten Smart-Meter-Rollout und </w:t>
      </w:r>
      <w:r>
        <w:t>bessere</w:t>
      </w:r>
      <w:r w:rsidRPr="00733D0A">
        <w:t xml:space="preserve"> gemeinschaftliche Erzeugungs- und Nutzungskonzepte.</w:t>
      </w:r>
    </w:p>
    <w:p w14:paraId="4D4B0783" w14:textId="77777777" w:rsidR="00657EBC" w:rsidRDefault="00657EBC">
      <w:pPr>
        <w:spacing w:after="160" w:line="259" w:lineRule="auto"/>
        <w:rPr>
          <w:b/>
          <w:bCs/>
        </w:rPr>
      </w:pPr>
      <w:r>
        <w:rPr>
          <w:b/>
          <w:bCs/>
        </w:rPr>
        <w:br w:type="page"/>
      </w:r>
    </w:p>
    <w:p w14:paraId="54DFF960" w14:textId="0523E669" w:rsidR="00657EBC" w:rsidRPr="003327F7" w:rsidRDefault="00657EBC" w:rsidP="00657EBC">
      <w:pPr>
        <w:numPr>
          <w:ilvl w:val="0"/>
          <w:numId w:val="1"/>
        </w:numPr>
        <w:spacing w:line="259" w:lineRule="auto"/>
        <w:jc w:val="both"/>
      </w:pPr>
      <w:r w:rsidRPr="00B12CFD">
        <w:rPr>
          <w:b/>
          <w:bCs/>
        </w:rPr>
        <w:lastRenderedPageBreak/>
        <w:t>Sektorenkopplung beschleunigen</w:t>
      </w:r>
    </w:p>
    <w:p w14:paraId="2F6EC74B" w14:textId="77777777" w:rsidR="00657EBC" w:rsidRDefault="00657EBC" w:rsidP="00657EBC">
      <w:pPr>
        <w:ind w:left="720"/>
        <w:jc w:val="both"/>
      </w:pPr>
      <w:r w:rsidRPr="00B12CFD">
        <w:t>Wärme- und Mobilitätssektoren müssen regulatorisch mit dem Stromsektor verzahnt werden</w:t>
      </w:r>
      <w:r>
        <w:t>, damit die Dekarbonisierung diesen Sektoren gelingt</w:t>
      </w:r>
      <w:r w:rsidRPr="00B12CFD">
        <w:t>. Ein stabiler CO</w:t>
      </w:r>
      <w:r w:rsidRPr="00B12CFD">
        <w:rPr>
          <w:rFonts w:ascii="Cambria Math" w:hAnsi="Cambria Math" w:cs="Cambria Math"/>
        </w:rPr>
        <w:t>₂</w:t>
      </w:r>
      <w:r w:rsidRPr="00B12CFD">
        <w:t>-Preispfad sowie eine Reform der Netzentgelte sind erforderlich, um den Umstieg auf Strom wirtschaftlich wettbewerbsf</w:t>
      </w:r>
      <w:r w:rsidRPr="00B12CFD">
        <w:rPr>
          <w:rFonts w:cs="Roboto"/>
        </w:rPr>
        <w:t>ä</w:t>
      </w:r>
      <w:r w:rsidRPr="00B12CFD">
        <w:t>hig zu machen.</w:t>
      </w:r>
    </w:p>
    <w:p w14:paraId="3CE76337" w14:textId="77777777" w:rsidR="00657EBC" w:rsidRPr="00B12CFD" w:rsidRDefault="00657EBC" w:rsidP="00657EBC">
      <w:pPr>
        <w:ind w:left="720"/>
        <w:jc w:val="both"/>
      </w:pPr>
    </w:p>
    <w:bookmarkEnd w:id="0"/>
    <w:p w14:paraId="47E065E8" w14:textId="77777777" w:rsidR="00657EBC" w:rsidRDefault="00657EBC" w:rsidP="00657EBC">
      <w:pPr>
        <w:jc w:val="both"/>
        <w:rPr>
          <w:b/>
          <w:bCs/>
        </w:rPr>
      </w:pPr>
      <w:r>
        <w:rPr>
          <w:b/>
          <w:bCs/>
        </w:rPr>
        <w:t xml:space="preserve">Unterstützung für die Belange der Speicherbranche kam auch von den politischen Gästen der </w:t>
      </w:r>
      <w:proofErr w:type="spellStart"/>
      <w:r>
        <w:rPr>
          <w:b/>
          <w:bCs/>
        </w:rPr>
        <w:t>Vorstandskalusur</w:t>
      </w:r>
      <w:proofErr w:type="spellEnd"/>
      <w:r>
        <w:rPr>
          <w:b/>
          <w:bCs/>
        </w:rPr>
        <w:t>:</w:t>
      </w:r>
    </w:p>
    <w:p w14:paraId="2117464A" w14:textId="77777777" w:rsidR="00657EBC" w:rsidRDefault="00657EBC" w:rsidP="00657EBC">
      <w:pPr>
        <w:jc w:val="both"/>
        <w:rPr>
          <w:b/>
          <w:bCs/>
        </w:rPr>
      </w:pPr>
    </w:p>
    <w:p w14:paraId="06B25112" w14:textId="77777777" w:rsidR="00657EBC" w:rsidRDefault="00657EBC" w:rsidP="00657EBC">
      <w:pPr>
        <w:jc w:val="both"/>
      </w:pPr>
      <w:r w:rsidRPr="00B12CFD">
        <w:t xml:space="preserve">Maria-Lena Weiss, MdB (CDU), betonte während der Klausurtagung die Bedeutung von Speichern für die Energiewende: </w:t>
      </w:r>
      <w:r w:rsidRPr="00B12CFD">
        <w:rPr>
          <w:i/>
          <w:iCs/>
        </w:rPr>
        <w:t>"Speicher sind ein zentraler Baustein unseres künftigen Energiesystems. Ich werde mich dafür einsetzen, dass die künstliche Aufspaltung von Speichern in Erzeugung und Verbrauch aufgehoben und Genehmigungsverfahren für Großspeicher beschleunigt werden."</w:t>
      </w:r>
      <w:r>
        <w:rPr>
          <w:i/>
          <w:iCs/>
        </w:rPr>
        <w:t xml:space="preserve"> </w:t>
      </w:r>
      <w:r w:rsidRPr="006E3553">
        <w:t>Außerdem braucht es eine Nachjustierung bei der Umsetzung des EuGH-Urteils zur Kompetenzverteilung zwischen Bundesnetzagentur und Gesetzgeber, damit das Ping-Pong-Spiel der Verantwortlichkeiten zwischen BMWK und BNetzA beendet wird, betonte sie.</w:t>
      </w:r>
    </w:p>
    <w:p w14:paraId="4CFC3B2F" w14:textId="77777777" w:rsidR="00657EBC" w:rsidRPr="00B12CFD" w:rsidRDefault="00657EBC" w:rsidP="00657EBC">
      <w:pPr>
        <w:jc w:val="both"/>
      </w:pPr>
    </w:p>
    <w:p w14:paraId="01DCE693" w14:textId="77777777" w:rsidR="00657EBC" w:rsidRDefault="00657EBC" w:rsidP="00657EBC">
      <w:pPr>
        <w:jc w:val="both"/>
        <w:rPr>
          <w:i/>
          <w:iCs/>
        </w:rPr>
      </w:pPr>
      <w:r w:rsidRPr="00B12CFD">
        <w:t xml:space="preserve">Auch Rita </w:t>
      </w:r>
      <w:proofErr w:type="spellStart"/>
      <w:r w:rsidRPr="00B12CFD">
        <w:t>Schwarzelühr</w:t>
      </w:r>
      <w:proofErr w:type="spellEnd"/>
      <w:r w:rsidRPr="00B12CFD">
        <w:t>-Sutter, MdB (SPD), hob die wirtschaftlichen Chancen</w:t>
      </w:r>
      <w:r>
        <w:t xml:space="preserve"> der Energiewende</w:t>
      </w:r>
      <w:r w:rsidRPr="00B12CFD">
        <w:t xml:space="preserve"> hervor: </w:t>
      </w:r>
      <w:r w:rsidRPr="00B12CFD">
        <w:rPr>
          <w:i/>
          <w:iCs/>
        </w:rPr>
        <w:t xml:space="preserve">"Klimaschutz und Wirtschaftswachstum müssen Hand in Hand gehen. Deutschland besitzt das Know-how und die Innovationskraft, um die Energiewende erfolgreich voranzutreiben </w:t>
      </w:r>
      <w:r w:rsidRPr="00FD742B">
        <w:rPr>
          <w:i/>
          <w:iCs/>
        </w:rPr>
        <w:t>und ist Exportweltmeister in Umwelttechnologien. Dieses Potenzial sollte auch in Deutschland genutzt werden – dazu sind passende Regulierung sowie Planungssicherheit für Investitionen erforderlich. Ich setze mich dafür ein, dass eine umweltfreundliche, bezahlbare und verlässliche Energieversorgung gelingt</w:t>
      </w:r>
      <w:r w:rsidRPr="00B12CFD">
        <w:rPr>
          <w:i/>
          <w:iCs/>
        </w:rPr>
        <w:t>."</w:t>
      </w:r>
    </w:p>
    <w:p w14:paraId="3ABF2DA0" w14:textId="77777777" w:rsidR="00657EBC" w:rsidRPr="00B12CFD" w:rsidRDefault="00657EBC" w:rsidP="00657EBC">
      <w:pPr>
        <w:jc w:val="both"/>
      </w:pPr>
    </w:p>
    <w:p w14:paraId="12865060" w14:textId="77777777" w:rsidR="00657EBC" w:rsidRDefault="00657EBC" w:rsidP="00657EBC">
      <w:pPr>
        <w:jc w:val="both"/>
      </w:pPr>
      <w:r w:rsidRPr="00B12CFD">
        <w:t>Die nächste Legislaturperiode ist die letzte Gelegenheit, die richtigen Rahmenbedingungen für eine vollständig erneuerbare Stromversorgung bis 2035 zu schaffen. Jede Verzögerung erhöht die Kosten und bremst die wirtschaftlichen Chancen der Energiewende. Die Speicherbranche ist bereit, die Flexibilitätsanforderungen des Energiesystems ohne Subventionen zu decke</w:t>
      </w:r>
      <w:r>
        <w:t>n, wenn</w:t>
      </w:r>
      <w:r w:rsidRPr="00B12CFD">
        <w:t xml:space="preserve"> regulatorische und bürokratische Hürden</w:t>
      </w:r>
      <w:r>
        <w:t xml:space="preserve"> endlich</w:t>
      </w:r>
      <w:r w:rsidRPr="00B12CFD">
        <w:t xml:space="preserve"> abgebaut</w:t>
      </w:r>
      <w:r>
        <w:t xml:space="preserve"> werden.</w:t>
      </w:r>
    </w:p>
    <w:p w14:paraId="71EC4E59" w14:textId="77777777" w:rsidR="00657EBC" w:rsidRPr="00B12CFD" w:rsidRDefault="00657EBC" w:rsidP="00657EBC">
      <w:pPr>
        <w:jc w:val="both"/>
      </w:pPr>
    </w:p>
    <w:p w14:paraId="45C6247B" w14:textId="77777777" w:rsidR="00657EBC" w:rsidRPr="00297929" w:rsidRDefault="00657EBC" w:rsidP="00657EBC">
      <w:pPr>
        <w:rPr>
          <w:i/>
          <w:iCs/>
        </w:rPr>
      </w:pPr>
      <w:r w:rsidRPr="00297929">
        <w:rPr>
          <w:i/>
          <w:iCs/>
          <w:highlight w:val="yellow"/>
        </w:rPr>
        <w:t>Das Papier finden Sie im Anhang sowie auf der Webseite www.bves.de</w:t>
      </w:r>
    </w:p>
    <w:p w14:paraId="1CF6C746" w14:textId="3D09078E" w:rsidR="00DD2CC5" w:rsidRDefault="00DD2CC5" w:rsidP="00C30BA0">
      <w:pPr>
        <w:jc w:val="both"/>
      </w:pPr>
    </w:p>
    <w:p w14:paraId="1F9369F6" w14:textId="0F1083A4" w:rsidR="00374606" w:rsidRDefault="00374606" w:rsidP="00374606">
      <w:pPr>
        <w:jc w:val="both"/>
        <w:rPr>
          <w:sz w:val="16"/>
          <w:szCs w:val="16"/>
        </w:rPr>
      </w:pPr>
      <w:r w:rsidRPr="00374606">
        <w:rPr>
          <w:sz w:val="16"/>
          <w:szCs w:val="16"/>
        </w:rPr>
        <w:t xml:space="preserve">Der BVES – Bundesverband Energiespeicher Systeme e.V. ist die führende Stimme für Unternehmen und Organisationen aus allen Bereichen der systemischen Energiespeicherung in den Sektoren Strom, Wärme und Mobilität. Als technologie-offener Industrie-Verband ist der BVES Dialogpartner für Politik, Verwaltung, Wissenschaft und Öffentlichkeit. Er bündelt die Kräfte der wichtigsten Branchenvertreter, gestaltet die öffentliche und politische Diskussion und berät bei der Ausgestaltung der politischen und rechtlichen Rahmenbedingungen, sowie Standards und Normen auf regionaler Ebene, Bun-des- und EU-Ebene. </w:t>
      </w:r>
    </w:p>
    <w:p w14:paraId="06312DD2" w14:textId="77777777" w:rsidR="00374606" w:rsidRPr="00374606" w:rsidRDefault="00374606" w:rsidP="00374606">
      <w:pPr>
        <w:jc w:val="both"/>
        <w:rPr>
          <w:sz w:val="16"/>
          <w:szCs w:val="16"/>
        </w:rPr>
      </w:pPr>
    </w:p>
    <w:p w14:paraId="7554D77C" w14:textId="77777777" w:rsidR="00374606" w:rsidRPr="00374606" w:rsidRDefault="00374606" w:rsidP="00374606">
      <w:pPr>
        <w:jc w:val="both"/>
        <w:rPr>
          <w:sz w:val="16"/>
          <w:szCs w:val="16"/>
        </w:rPr>
      </w:pPr>
      <w:r w:rsidRPr="00374606">
        <w:rPr>
          <w:b/>
          <w:bCs/>
          <w:sz w:val="16"/>
          <w:szCs w:val="16"/>
        </w:rPr>
        <w:t>Pressekontakt:</w:t>
      </w:r>
      <w:r w:rsidRPr="00374606">
        <w:rPr>
          <w:sz w:val="16"/>
          <w:szCs w:val="16"/>
        </w:rPr>
        <w:t xml:space="preserve"> Katja Esche, Referentin Kommunikation</w:t>
      </w:r>
    </w:p>
    <w:p w14:paraId="1B3C97D6" w14:textId="52DB9713" w:rsidR="00DD2CC5" w:rsidRPr="00374606" w:rsidRDefault="00374606" w:rsidP="00374606">
      <w:pPr>
        <w:jc w:val="both"/>
        <w:rPr>
          <w:sz w:val="16"/>
          <w:szCs w:val="16"/>
        </w:rPr>
      </w:pPr>
      <w:r w:rsidRPr="00374606">
        <w:rPr>
          <w:sz w:val="16"/>
          <w:szCs w:val="16"/>
        </w:rPr>
        <w:t>Tel.: 030 - 54 610 634, Mobil: 0172-1481791, k.esche@bves.de, www.bves.de</w:t>
      </w:r>
    </w:p>
    <w:sectPr w:rsidR="00DD2CC5" w:rsidRPr="00374606" w:rsidSect="002C0814">
      <w:headerReference w:type="default" r:id="rId7"/>
      <w:footerReference w:type="default" r:id="rId8"/>
      <w:headerReference w:type="first" r:id="rId9"/>
      <w:footerReference w:type="first" r:id="rId10"/>
      <w:pgSz w:w="11906" w:h="16838"/>
      <w:pgMar w:top="2444" w:right="1134" w:bottom="1135" w:left="1418" w:header="1985" w:footer="5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6DF2A" w14:textId="77777777" w:rsidR="005344A6" w:rsidRDefault="005344A6" w:rsidP="00FD40C9">
      <w:pPr>
        <w:spacing w:line="240" w:lineRule="auto"/>
      </w:pPr>
      <w:r>
        <w:separator/>
      </w:r>
    </w:p>
  </w:endnote>
  <w:endnote w:type="continuationSeparator" w:id="0">
    <w:p w14:paraId="3AF69E63" w14:textId="77777777" w:rsidR="005344A6" w:rsidRDefault="005344A6" w:rsidP="00FD40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B00CC18B-29C0-4F90-8A9D-295CA049A5F3}"/>
    <w:embedBold r:id="rId2" w:fontKey="{A0877C04-FC1E-41E4-B277-5CBA5C2EFC70}"/>
    <w:embedItalic r:id="rId3" w:fontKey="{409D315D-58EF-46BD-A833-D98E1F88770D}"/>
  </w:font>
  <w:font w:name="TWK Everett">
    <w:panose1 w:val="020B0204000000000000"/>
    <w:charset w:val="00"/>
    <w:family w:val="swiss"/>
    <w:notTrueType/>
    <w:pitch w:val="variable"/>
    <w:sig w:usb0="00000007" w:usb1="00000001"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4" w:fontKey="{E3E83B47-A609-42C2-8386-6E7AC270A2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B8FDF" w14:textId="751786CA" w:rsidR="007C7B51" w:rsidRPr="007C7B51" w:rsidRDefault="007C7B51" w:rsidP="007C7B51">
    <w:pPr>
      <w:pStyle w:val="Fuzeile"/>
    </w:pPr>
    <w:r w:rsidRPr="007C7B51">
      <w:fldChar w:fldCharType="begin"/>
    </w:r>
    <w:r w:rsidRPr="007C7B51">
      <w:instrText xml:space="preserve"> PAGE   \* MERGEFORMAT </w:instrText>
    </w:r>
    <w:r w:rsidRPr="007C7B51">
      <w:fldChar w:fldCharType="separate"/>
    </w:r>
    <w:r w:rsidRPr="007C7B51">
      <w:t>1</w:t>
    </w:r>
    <w:r w:rsidRPr="007C7B51">
      <w:fldChar w:fldCharType="end"/>
    </w:r>
    <w:r w:rsidRPr="007C7B51">
      <w:t>/</w:t>
    </w:r>
    <w:fldSimple w:instr=" SECTIONPAGES   \* MERGEFORMAT ">
      <w:r w:rsidR="00657EBC">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BC653" w14:textId="48C65C33" w:rsidR="00894B99" w:rsidRDefault="00894B99" w:rsidP="00894B99"/>
  <w:p w14:paraId="7CCBF5AD" w14:textId="77777777" w:rsidR="00894B99" w:rsidRDefault="00894B99" w:rsidP="00894B99"/>
  <w:p w14:paraId="0D05B941" w14:textId="77777777" w:rsidR="000B71A6" w:rsidRDefault="000B71A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29DF8" w14:textId="77777777" w:rsidR="005344A6" w:rsidRDefault="005344A6" w:rsidP="00FD40C9">
      <w:pPr>
        <w:spacing w:line="240" w:lineRule="auto"/>
      </w:pPr>
      <w:r>
        <w:separator/>
      </w:r>
    </w:p>
  </w:footnote>
  <w:footnote w:type="continuationSeparator" w:id="0">
    <w:p w14:paraId="4FF5F629" w14:textId="77777777" w:rsidR="005344A6" w:rsidRDefault="005344A6" w:rsidP="00FD40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5077C" w14:textId="0D70B56C" w:rsidR="00001C4F" w:rsidRDefault="00015997">
    <w:pPr>
      <w:pStyle w:val="Kopfzeile"/>
    </w:pPr>
    <w:r>
      <w:rPr>
        <w:noProof/>
      </w:rPr>
      <w:drawing>
        <wp:anchor distT="0" distB="0" distL="114300" distR="114300" simplePos="0" relativeHeight="251671552" behindDoc="0" locked="0" layoutInCell="1" allowOverlap="1" wp14:anchorId="377EE736" wp14:editId="034DEC36">
          <wp:simplePos x="0" y="0"/>
          <wp:positionH relativeFrom="page">
            <wp:posOffset>4932680</wp:posOffset>
          </wp:positionH>
          <wp:positionV relativeFrom="page">
            <wp:posOffset>720090</wp:posOffset>
          </wp:positionV>
          <wp:extent cx="1533600" cy="324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533600" cy="324000"/>
                  </a:xfrm>
                  <a:prstGeom prst="rect">
                    <a:avLst/>
                  </a:prstGeom>
                </pic:spPr>
              </pic:pic>
            </a:graphicData>
          </a:graphic>
          <wp14:sizeRelH relativeFrom="page">
            <wp14:pctWidth>0</wp14:pctWidth>
          </wp14:sizeRelH>
          <wp14:sizeRelV relativeFrom="page">
            <wp14:pctHeight>0</wp14:pctHeight>
          </wp14:sizeRelV>
        </wp:anchor>
      </w:drawing>
    </w:r>
    <w:r w:rsidR="00CE1A6A">
      <w:rPr>
        <w:noProof/>
      </w:rPr>
      <mc:AlternateContent>
        <mc:Choice Requires="wps">
          <w:drawing>
            <wp:anchor distT="0" distB="0" distL="114300" distR="114300" simplePos="0" relativeHeight="251666432" behindDoc="0" locked="1" layoutInCell="1" allowOverlap="1" wp14:anchorId="5660D453" wp14:editId="797C3D59">
              <wp:simplePos x="0" y="0"/>
              <wp:positionH relativeFrom="page">
                <wp:posOffset>0</wp:posOffset>
              </wp:positionH>
              <wp:positionV relativeFrom="page">
                <wp:posOffset>5310505</wp:posOffset>
              </wp:positionV>
              <wp:extent cx="439200" cy="72000"/>
              <wp:effectExtent l="0" t="0" r="0" b="4445"/>
              <wp:wrapNone/>
              <wp:docPr id="88" name="Rechteck 88"/>
              <wp:cNvGraphicFramePr/>
              <a:graphic xmlns:a="http://schemas.openxmlformats.org/drawingml/2006/main">
                <a:graphicData uri="http://schemas.microsoft.com/office/word/2010/wordprocessingShape">
                  <wps:wsp>
                    <wps:cNvSpPr/>
                    <wps:spPr>
                      <a:xfrm>
                        <a:off x="0" y="0"/>
                        <a:ext cx="439200" cy="7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E991F" id="Rechteck 88" o:spid="_x0000_s1026" style="position:absolute;margin-left:0;margin-top:418.15pt;width:34.6pt;height:5.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" fillcolor="#ec6624 [3208]" stroked="f" strokeweight="1pt">
              <w10:wrap anchorx="page" anchory="page"/>
              <w10:anchorlock/>
            </v:rect>
          </w:pict>
        </mc:Fallback>
      </mc:AlternateContent>
    </w:r>
    <w:r w:rsidR="00CE1A6A">
      <w:rPr>
        <w:noProof/>
      </w:rPr>
      <mc:AlternateContent>
        <mc:Choice Requires="wps">
          <w:drawing>
            <wp:anchor distT="0" distB="0" distL="114300" distR="114300" simplePos="0" relativeHeight="251664384" behindDoc="0" locked="1" layoutInCell="1" allowOverlap="1" wp14:anchorId="365424BD" wp14:editId="1C3441C8">
              <wp:simplePos x="0" y="0"/>
              <wp:positionH relativeFrom="page">
                <wp:posOffset>0</wp:posOffset>
              </wp:positionH>
              <wp:positionV relativeFrom="page">
                <wp:posOffset>3744595</wp:posOffset>
              </wp:positionV>
              <wp:extent cx="439200" cy="72000"/>
              <wp:effectExtent l="0" t="0" r="0" b="4445"/>
              <wp:wrapNone/>
              <wp:docPr id="87" name="Rechteck 87"/>
              <wp:cNvGraphicFramePr/>
              <a:graphic xmlns:a="http://schemas.openxmlformats.org/drawingml/2006/main">
                <a:graphicData uri="http://schemas.microsoft.com/office/word/2010/wordprocessingShape">
                  <wps:wsp>
                    <wps:cNvSpPr/>
                    <wps:spPr>
                      <a:xfrm>
                        <a:off x="0" y="0"/>
                        <a:ext cx="439200" cy="7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B8081" id="Rechteck 87" o:spid="_x0000_s1026" style="position:absolute;margin-left:0;margin-top:294.85pt;width:34.6pt;height: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" fillcolor="#ffd300 [3209]"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B20A" w14:textId="2B2C3441" w:rsidR="00001C4F" w:rsidRDefault="00CE1A6A" w:rsidP="00D90865">
    <w:pPr>
      <w:pStyle w:val="Kopfzeile"/>
      <w:spacing w:after="400"/>
    </w:pPr>
    <w:r>
      <w:rPr>
        <w:noProof/>
      </w:rPr>
      <mc:AlternateContent>
        <mc:Choice Requires="wps">
          <w:drawing>
            <wp:anchor distT="0" distB="0" distL="114300" distR="114300" simplePos="0" relativeHeight="251670528" behindDoc="0" locked="1" layoutInCell="1" allowOverlap="1" wp14:anchorId="49C7F826" wp14:editId="1787A24D">
              <wp:simplePos x="0" y="0"/>
              <wp:positionH relativeFrom="page">
                <wp:posOffset>0</wp:posOffset>
              </wp:positionH>
              <wp:positionV relativeFrom="page">
                <wp:posOffset>5310505</wp:posOffset>
              </wp:positionV>
              <wp:extent cx="439200" cy="72000"/>
              <wp:effectExtent l="0" t="0" r="0" b="4445"/>
              <wp:wrapNone/>
              <wp:docPr id="89" name="Rechteck 89"/>
              <wp:cNvGraphicFramePr/>
              <a:graphic xmlns:a="http://schemas.openxmlformats.org/drawingml/2006/main">
                <a:graphicData uri="http://schemas.microsoft.com/office/word/2010/wordprocessingShape">
                  <wps:wsp>
                    <wps:cNvSpPr/>
                    <wps:spPr>
                      <a:xfrm>
                        <a:off x="0" y="0"/>
                        <a:ext cx="439200" cy="72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45F6B" id="Rechteck 89" o:spid="_x0000_s1026" style="position:absolute;margin-left:0;margin-top:418.15pt;width:34.6pt;height:5.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" fillcolor="#ec6624 [3208]" stroked="f" strokeweight="1pt">
              <w10:wrap anchorx="page" anchory="page"/>
              <w10:anchorlock/>
            </v:rect>
          </w:pict>
        </mc:Fallback>
      </mc:AlternateContent>
    </w:r>
    <w:r>
      <w:rPr>
        <w:noProof/>
      </w:rPr>
      <mc:AlternateContent>
        <mc:Choice Requires="wps">
          <w:drawing>
            <wp:anchor distT="0" distB="0" distL="114300" distR="114300" simplePos="0" relativeHeight="251669504" behindDoc="0" locked="1" layoutInCell="1" allowOverlap="1" wp14:anchorId="496A1BF2" wp14:editId="06BEE0B2">
              <wp:simplePos x="0" y="0"/>
              <wp:positionH relativeFrom="page">
                <wp:posOffset>0</wp:posOffset>
              </wp:positionH>
              <wp:positionV relativeFrom="page">
                <wp:posOffset>3744595</wp:posOffset>
              </wp:positionV>
              <wp:extent cx="439200" cy="72000"/>
              <wp:effectExtent l="0" t="0" r="0" b="4445"/>
              <wp:wrapNone/>
              <wp:docPr id="90" name="Rechteck 90"/>
              <wp:cNvGraphicFramePr/>
              <a:graphic xmlns:a="http://schemas.openxmlformats.org/drawingml/2006/main">
                <a:graphicData uri="http://schemas.microsoft.com/office/word/2010/wordprocessingShape">
                  <wps:wsp>
                    <wps:cNvSpPr/>
                    <wps:spPr>
                      <a:xfrm>
                        <a:off x="0" y="0"/>
                        <a:ext cx="439200" cy="7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D0F5C" id="Rechteck 90" o:spid="_x0000_s1026" style="position:absolute;margin-left:0;margin-top:294.85pt;width:34.6pt;height:5.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" fillcolor="#ffd300 [3209]" stroked="f" strokeweight="1pt">
              <w10:wrap anchorx="page" anchory="page"/>
              <w10:anchorlock/>
            </v:rect>
          </w:pict>
        </mc:Fallback>
      </mc:AlternateContent>
    </w:r>
    <w:r w:rsidR="00015997">
      <w:rPr>
        <w:noProof/>
      </w:rPr>
      <w:drawing>
        <wp:anchor distT="0" distB="0" distL="114300" distR="114300" simplePos="0" relativeHeight="251673600" behindDoc="0" locked="0" layoutInCell="1" allowOverlap="1" wp14:anchorId="59DD7B60" wp14:editId="61E3CDE1">
          <wp:simplePos x="0" y="0"/>
          <wp:positionH relativeFrom="page">
            <wp:posOffset>4932680</wp:posOffset>
          </wp:positionH>
          <wp:positionV relativeFrom="page">
            <wp:posOffset>720090</wp:posOffset>
          </wp:positionV>
          <wp:extent cx="1533600" cy="324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533600" cy="32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0975B2"/>
    <w:multiLevelType w:val="multilevel"/>
    <w:tmpl w:val="266AFAF8"/>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1145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99F"/>
    <w:rsid w:val="00001C4F"/>
    <w:rsid w:val="0001455E"/>
    <w:rsid w:val="00015997"/>
    <w:rsid w:val="000303F4"/>
    <w:rsid w:val="000754D3"/>
    <w:rsid w:val="00086FBB"/>
    <w:rsid w:val="000A23C5"/>
    <w:rsid w:val="000B71A6"/>
    <w:rsid w:val="0011103C"/>
    <w:rsid w:val="00114C1A"/>
    <w:rsid w:val="001647C2"/>
    <w:rsid w:val="00171EBF"/>
    <w:rsid w:val="001806D3"/>
    <w:rsid w:val="001B1B13"/>
    <w:rsid w:val="00205BFB"/>
    <w:rsid w:val="00217E8B"/>
    <w:rsid w:val="0024148D"/>
    <w:rsid w:val="00243449"/>
    <w:rsid w:val="00270BD0"/>
    <w:rsid w:val="002951D7"/>
    <w:rsid w:val="002C0814"/>
    <w:rsid w:val="002F1AFB"/>
    <w:rsid w:val="002F5C3D"/>
    <w:rsid w:val="00301910"/>
    <w:rsid w:val="003022A4"/>
    <w:rsid w:val="003109F3"/>
    <w:rsid w:val="00334DD3"/>
    <w:rsid w:val="00351F54"/>
    <w:rsid w:val="00374606"/>
    <w:rsid w:val="003771C4"/>
    <w:rsid w:val="00381D71"/>
    <w:rsid w:val="003B3211"/>
    <w:rsid w:val="003E693D"/>
    <w:rsid w:val="00416D4D"/>
    <w:rsid w:val="004368B6"/>
    <w:rsid w:val="00463C42"/>
    <w:rsid w:val="0049418A"/>
    <w:rsid w:val="004B09FB"/>
    <w:rsid w:val="004D6022"/>
    <w:rsid w:val="004F099F"/>
    <w:rsid w:val="0051302D"/>
    <w:rsid w:val="005235F1"/>
    <w:rsid w:val="005344A6"/>
    <w:rsid w:val="00556214"/>
    <w:rsid w:val="005572FE"/>
    <w:rsid w:val="005B5390"/>
    <w:rsid w:val="005C5DC2"/>
    <w:rsid w:val="005D0DFE"/>
    <w:rsid w:val="00601452"/>
    <w:rsid w:val="0063410D"/>
    <w:rsid w:val="00657EBC"/>
    <w:rsid w:val="00686496"/>
    <w:rsid w:val="006952F1"/>
    <w:rsid w:val="006D3DB8"/>
    <w:rsid w:val="006D4258"/>
    <w:rsid w:val="006E6211"/>
    <w:rsid w:val="007844CE"/>
    <w:rsid w:val="00787318"/>
    <w:rsid w:val="007A2993"/>
    <w:rsid w:val="007A40E7"/>
    <w:rsid w:val="007C784E"/>
    <w:rsid w:val="007C7B51"/>
    <w:rsid w:val="00801240"/>
    <w:rsid w:val="00801EB3"/>
    <w:rsid w:val="0082782D"/>
    <w:rsid w:val="00842225"/>
    <w:rsid w:val="00865D46"/>
    <w:rsid w:val="00890679"/>
    <w:rsid w:val="00894B99"/>
    <w:rsid w:val="008E4E79"/>
    <w:rsid w:val="00905546"/>
    <w:rsid w:val="00931581"/>
    <w:rsid w:val="009A45BB"/>
    <w:rsid w:val="009B4632"/>
    <w:rsid w:val="009F3F68"/>
    <w:rsid w:val="00A11BE1"/>
    <w:rsid w:val="00A20ABB"/>
    <w:rsid w:val="00A33B1F"/>
    <w:rsid w:val="00A45E2E"/>
    <w:rsid w:val="00A54024"/>
    <w:rsid w:val="00A727A4"/>
    <w:rsid w:val="00A72833"/>
    <w:rsid w:val="00A73E8B"/>
    <w:rsid w:val="00A962FB"/>
    <w:rsid w:val="00AB357E"/>
    <w:rsid w:val="00AE63FE"/>
    <w:rsid w:val="00B0459C"/>
    <w:rsid w:val="00B30F18"/>
    <w:rsid w:val="00B37F75"/>
    <w:rsid w:val="00B471B1"/>
    <w:rsid w:val="00B50A14"/>
    <w:rsid w:val="00B517EB"/>
    <w:rsid w:val="00B536AB"/>
    <w:rsid w:val="00BD3A21"/>
    <w:rsid w:val="00C04CBF"/>
    <w:rsid w:val="00C276C4"/>
    <w:rsid w:val="00C30BA0"/>
    <w:rsid w:val="00C65551"/>
    <w:rsid w:val="00CA56CC"/>
    <w:rsid w:val="00CE1A6A"/>
    <w:rsid w:val="00D3619B"/>
    <w:rsid w:val="00D3664C"/>
    <w:rsid w:val="00D54882"/>
    <w:rsid w:val="00D72286"/>
    <w:rsid w:val="00D90865"/>
    <w:rsid w:val="00D91480"/>
    <w:rsid w:val="00DB29C3"/>
    <w:rsid w:val="00DD2CC5"/>
    <w:rsid w:val="00E07710"/>
    <w:rsid w:val="00E60EF8"/>
    <w:rsid w:val="00E75792"/>
    <w:rsid w:val="00E90736"/>
    <w:rsid w:val="00E92CB7"/>
    <w:rsid w:val="00ED3C56"/>
    <w:rsid w:val="00F51485"/>
    <w:rsid w:val="00F82C25"/>
    <w:rsid w:val="00FD0C26"/>
    <w:rsid w:val="00FD40C9"/>
    <w:rsid w:val="00FD5145"/>
    <w:rsid w:val="00FF297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D9E97"/>
  <w15:chartTrackingRefBased/>
  <w15:docId w15:val="{C4F1766D-06AF-4758-8E81-A6B5AD22C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C4F"/>
    <w:pPr>
      <w:spacing w:after="0" w:line="300" w:lineRule="atLeast"/>
    </w:pPr>
    <w:rPr>
      <w:sz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D40C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D40C9"/>
  </w:style>
  <w:style w:type="paragraph" w:styleId="Fuzeile">
    <w:name w:val="footer"/>
    <w:basedOn w:val="Standard"/>
    <w:link w:val="FuzeileZchn"/>
    <w:uiPriority w:val="99"/>
    <w:unhideWhenUsed/>
    <w:rsid w:val="007C7B51"/>
    <w:pPr>
      <w:tabs>
        <w:tab w:val="center" w:pos="4536"/>
        <w:tab w:val="right" w:pos="9072"/>
      </w:tabs>
      <w:spacing w:line="220" w:lineRule="exact"/>
    </w:pPr>
    <w:rPr>
      <w:color w:val="638798" w:themeColor="accent2"/>
      <w:sz w:val="17"/>
    </w:rPr>
  </w:style>
  <w:style w:type="character" w:customStyle="1" w:styleId="FuzeileZchn">
    <w:name w:val="Fußzeile Zchn"/>
    <w:basedOn w:val="Absatz-Standardschriftart"/>
    <w:link w:val="Fuzeile"/>
    <w:uiPriority w:val="99"/>
    <w:rsid w:val="007C7B51"/>
    <w:rPr>
      <w:color w:val="638798" w:themeColor="accent2"/>
      <w:sz w:val="17"/>
    </w:rPr>
  </w:style>
  <w:style w:type="table" w:styleId="Tabellenraster">
    <w:name w:val="Table Grid"/>
    <w:basedOn w:val="NormaleTabelle"/>
    <w:uiPriority w:val="39"/>
    <w:rsid w:val="000B7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nder">
    <w:name w:val="Absender"/>
    <w:basedOn w:val="Standard"/>
    <w:qFormat/>
    <w:rsid w:val="00D90865"/>
    <w:pPr>
      <w:spacing w:line="220" w:lineRule="exact"/>
    </w:pPr>
    <w:rPr>
      <w:noProof/>
      <w:color w:val="638798" w:themeColor="accent2"/>
      <w:sz w:val="17"/>
    </w:rPr>
  </w:style>
  <w:style w:type="paragraph" w:customStyle="1" w:styleId="Betreff">
    <w:name w:val="Betreff"/>
    <w:basedOn w:val="Standard"/>
    <w:qFormat/>
    <w:rsid w:val="000303F4"/>
    <w:pPr>
      <w:spacing w:after="600" w:line="280" w:lineRule="exact"/>
      <w:contextualSpacing/>
    </w:pPr>
    <w:rPr>
      <w:rFonts w:asciiTheme="majorHAnsi" w:hAnsiTheme="majorHAnsi"/>
      <w:caps/>
      <w:noProof/>
      <w:color w:val="16194B" w:themeColor="background2"/>
      <w:sz w:val="24"/>
      <w:szCs w:val="24"/>
    </w:rPr>
  </w:style>
  <w:style w:type="character" w:styleId="Hyperlink">
    <w:name w:val="Hyperlink"/>
    <w:basedOn w:val="Absatz-Standardschriftart"/>
    <w:uiPriority w:val="99"/>
    <w:unhideWhenUsed/>
    <w:rsid w:val="00C65551"/>
    <w:rPr>
      <w:color w:val="0563C1" w:themeColor="hyperlink"/>
      <w:u w:val="single"/>
    </w:rPr>
  </w:style>
  <w:style w:type="character" w:styleId="NichtaufgelsteErwhnung">
    <w:name w:val="Unresolved Mention"/>
    <w:basedOn w:val="Absatz-Standardschriftart"/>
    <w:uiPriority w:val="99"/>
    <w:semiHidden/>
    <w:unhideWhenUsed/>
    <w:rsid w:val="00C65551"/>
    <w:rPr>
      <w:color w:val="605E5C"/>
      <w:shd w:val="clear" w:color="auto" w:fill="E1DFDD"/>
    </w:rPr>
  </w:style>
  <w:style w:type="paragraph" w:styleId="StandardWeb">
    <w:name w:val="Normal (Web)"/>
    <w:basedOn w:val="Standard"/>
    <w:uiPriority w:val="99"/>
    <w:semiHidden/>
    <w:unhideWhenUsed/>
    <w:rsid w:val="00C30BA0"/>
    <w:rPr>
      <w:rFonts w:ascii="Times New Roman" w:hAnsi="Times New Roman" w:cs="Times New Roman"/>
      <w:sz w:val="24"/>
      <w:szCs w:val="24"/>
    </w:rPr>
  </w:style>
  <w:style w:type="paragraph" w:styleId="Listenabsatz">
    <w:name w:val="List Paragraph"/>
    <w:basedOn w:val="Standard"/>
    <w:uiPriority w:val="34"/>
    <w:qFormat/>
    <w:rsid w:val="00657EBC"/>
    <w:pPr>
      <w:spacing w:after="160" w:line="259" w:lineRule="auto"/>
      <w:ind w:left="720"/>
      <w:contextualSpacing/>
    </w:pPr>
    <w:rPr>
      <w:rFonts w:ascii="Roboto" w:hAnsi="Roboto"/>
      <w:kern w:val="2"/>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333324">
      <w:bodyDiv w:val="1"/>
      <w:marLeft w:val="0"/>
      <w:marRight w:val="0"/>
      <w:marTop w:val="0"/>
      <w:marBottom w:val="0"/>
      <w:divBdr>
        <w:top w:val="none" w:sz="0" w:space="0" w:color="auto"/>
        <w:left w:val="none" w:sz="0" w:space="0" w:color="auto"/>
        <w:bottom w:val="none" w:sz="0" w:space="0" w:color="auto"/>
        <w:right w:val="none" w:sz="0" w:space="0" w:color="auto"/>
      </w:divBdr>
    </w:div>
    <w:div w:id="171226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Benutzerdefiniert 1">
      <a:dk1>
        <a:srgbClr val="000000"/>
      </a:dk1>
      <a:lt1>
        <a:srgbClr val="FFFFFF"/>
      </a:lt1>
      <a:dk2>
        <a:srgbClr val="638798"/>
      </a:dk2>
      <a:lt2>
        <a:srgbClr val="16194B"/>
      </a:lt2>
      <a:accent1>
        <a:srgbClr val="16194B"/>
      </a:accent1>
      <a:accent2>
        <a:srgbClr val="638798"/>
      </a:accent2>
      <a:accent3>
        <a:srgbClr val="AEC2CE"/>
      </a:accent3>
      <a:accent4>
        <a:srgbClr val="00B1A9"/>
      </a:accent4>
      <a:accent5>
        <a:srgbClr val="EC6624"/>
      </a:accent5>
      <a:accent6>
        <a:srgbClr val="FFD300"/>
      </a:accent6>
      <a:hlink>
        <a:srgbClr val="0563C1"/>
      </a:hlink>
      <a:folHlink>
        <a:srgbClr val="954FB5"/>
      </a:folHlink>
    </a:clrScheme>
    <a:fontScheme name="Benutzerdefiniert 1">
      <a:majorFont>
        <a:latin typeface="TWK Everett"/>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662</Words>
  <Characters>4841</Characters>
  <Application>Microsoft Office Word</Application>
  <DocSecurity>4</DocSecurity>
  <Lines>78</Lines>
  <Paragraphs>23</Paragraphs>
  <ScaleCrop>false</ScaleCrop>
  <HeadingPairs>
    <vt:vector size="2" baseType="variant">
      <vt:variant>
        <vt:lpstr>Titel</vt:lpstr>
      </vt:variant>
      <vt:variant>
        <vt:i4>1</vt:i4>
      </vt:variant>
    </vt:vector>
  </HeadingPairs>
  <TitlesOfParts>
    <vt:vector size="1" baseType="lpstr">
      <vt:lpstr/>
    </vt:vector>
  </TitlesOfParts>
  <Company>BVES e. V.</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BVES e. V.</dc:creator>
  <cp:keywords/>
  <dc:description/>
  <cp:lastModifiedBy>Katja Esche</cp:lastModifiedBy>
  <cp:revision>2</cp:revision>
  <cp:lastPrinted>2024-12-05T09:03:00Z</cp:lastPrinted>
  <dcterms:created xsi:type="dcterms:W3CDTF">2025-02-06T15:14:00Z</dcterms:created>
  <dcterms:modified xsi:type="dcterms:W3CDTF">2025-02-06T15:14:00Z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68cdad6e9e2484e0f0c01ff2f0e4fb81408e2138bbe4fc44a39240b75e0df3a9</vt:lpwstr>
  </property>
</Properties>
</file>